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8" w:rightChars="100"/>
        <w:rPr>
          <w:rFonts w:ascii="黑体" w:hAnsi="黑体" w:eastAsia="黑体" w:cs="黑体"/>
        </w:rPr>
      </w:pPr>
      <w:r>
        <w:rPr>
          <w:rFonts w:hint="eastAsia" w:ascii="黑体" w:hAnsi="黑体" w:eastAsia="黑体" w:cs="黑体"/>
        </w:rPr>
        <w:t>附件：</w:t>
      </w:r>
    </w:p>
    <w:p>
      <w:pPr>
        <w:spacing w:line="560" w:lineRule="exact"/>
        <w:jc w:val="center"/>
      </w:pPr>
      <w:bookmarkStart w:id="0" w:name="_GoBack"/>
      <w:r>
        <w:rPr>
          <w:rFonts w:hint="eastAsia" w:ascii="方正小标宋简体" w:hAnsi="方正小标宋简体" w:eastAsia="方正小标宋简体" w:cs="方正小标宋简体"/>
          <w:sz w:val="40"/>
          <w:szCs w:val="40"/>
        </w:rPr>
        <w:t>西安理工大学高科学院信息公开事项清单</w:t>
      </w:r>
      <w:bookmarkEnd w:id="0"/>
    </w:p>
    <w:p>
      <w:pPr>
        <w:jc w:val="center"/>
      </w:pPr>
      <w:r>
        <w:rPr>
          <w:rFonts w:hint="eastAsia"/>
        </w:rPr>
        <w:t>（共10大类50条）</w:t>
      </w:r>
    </w:p>
    <w:tbl>
      <w:tblPr>
        <w:tblStyle w:val="6"/>
        <w:tblW w:w="15149" w:type="dxa"/>
        <w:tblInd w:w="0" w:type="dxa"/>
        <w:tblLayout w:type="fixed"/>
        <w:tblCellMar>
          <w:top w:w="0" w:type="dxa"/>
          <w:left w:w="0" w:type="dxa"/>
          <w:bottom w:w="0" w:type="dxa"/>
          <w:right w:w="0" w:type="dxa"/>
        </w:tblCellMar>
      </w:tblPr>
      <w:tblGrid>
        <w:gridCol w:w="602"/>
        <w:gridCol w:w="1909"/>
        <w:gridCol w:w="496"/>
        <w:gridCol w:w="8068"/>
        <w:gridCol w:w="4074"/>
      </w:tblGrid>
      <w:tr>
        <w:tblPrEx>
          <w:tblLayout w:type="fixed"/>
          <w:tblCellMar>
            <w:top w:w="0" w:type="dxa"/>
            <w:left w:w="0" w:type="dxa"/>
            <w:bottom w:w="0" w:type="dxa"/>
            <w:right w:w="0" w:type="dxa"/>
          </w:tblCellMar>
        </w:tblPrEx>
        <w:trPr>
          <w:trHeight w:val="4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类别</w:t>
            </w:r>
          </w:p>
        </w:tc>
        <w:tc>
          <w:tcPr>
            <w:tcW w:w="856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公开事项</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网址</w:t>
            </w:r>
          </w:p>
        </w:tc>
      </w:tr>
      <w:tr>
        <w:tblPrEx>
          <w:tblLayout w:type="fixed"/>
          <w:tblCellMar>
            <w:top w:w="0" w:type="dxa"/>
            <w:left w:w="0" w:type="dxa"/>
            <w:bottom w:w="0" w:type="dxa"/>
            <w:right w:w="0" w:type="dxa"/>
          </w:tblCellMar>
        </w:tblPrEx>
        <w:trPr>
          <w:trHeight w:val="2662"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基本信息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（6项）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w:t>
            </w:r>
          </w:p>
        </w:tc>
        <w:tc>
          <w:tcPr>
            <w:tcW w:w="8068" w:type="dxa"/>
            <w:vMerge w:val="restart"/>
            <w:tcBorders>
              <w:top w:val="single" w:color="000000" w:sz="4" w:space="0"/>
              <w:left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校级领导班子简介及分工</w:t>
            </w:r>
            <w:r>
              <w:rPr>
                <w:rFonts w:hint="eastAsia" w:ascii="宋体" w:hAnsi="宋体" w:eastAsia="宋体" w:cs="宋体"/>
                <w:color w:val="333333"/>
                <w:kern w:val="0"/>
                <w:sz w:val="18"/>
                <w:szCs w:val="18"/>
                <w:lang w:eastAsia="zh-CN" w:bidi="ar"/>
              </w:rPr>
              <w:t>、</w:t>
            </w:r>
            <w:r>
              <w:rPr>
                <w:rFonts w:hint="eastAsia" w:ascii="宋体" w:hAnsi="宋体" w:eastAsia="宋体" w:cs="宋体"/>
                <w:color w:val="333333"/>
                <w:kern w:val="0"/>
                <w:sz w:val="18"/>
                <w:szCs w:val="18"/>
                <w:lang w:bidi="ar"/>
              </w:rPr>
              <w:t>办学规模、各类在校生情况</w:t>
            </w:r>
            <w:r>
              <w:rPr>
                <w:rFonts w:hint="eastAsia" w:ascii="宋体" w:hAnsi="宋体" w:eastAsia="宋体" w:cs="宋体"/>
                <w:color w:val="333333"/>
                <w:kern w:val="0"/>
                <w:sz w:val="18"/>
                <w:szCs w:val="18"/>
                <w:lang w:eastAsia="zh-CN" w:bidi="ar"/>
              </w:rPr>
              <w:t>、</w:t>
            </w:r>
            <w:r>
              <w:rPr>
                <w:rFonts w:hint="eastAsia" w:ascii="宋体" w:hAnsi="宋体" w:eastAsia="宋体" w:cs="宋体"/>
                <w:color w:val="333333"/>
                <w:kern w:val="0"/>
                <w:sz w:val="18"/>
                <w:szCs w:val="18"/>
                <w:lang w:bidi="ar"/>
              </w:rPr>
              <w:t>学校机构设置</w:t>
            </w:r>
            <w:r>
              <w:rPr>
                <w:rFonts w:hint="eastAsia" w:ascii="宋体" w:hAnsi="宋体" w:eastAsia="宋体" w:cs="宋体"/>
                <w:color w:val="333333"/>
                <w:kern w:val="0"/>
                <w:sz w:val="18"/>
                <w:szCs w:val="18"/>
                <w:lang w:eastAsia="zh-CN" w:bidi="ar"/>
              </w:rPr>
              <w:t>、</w:t>
            </w:r>
            <w:r>
              <w:rPr>
                <w:rFonts w:hint="eastAsia" w:ascii="宋体" w:hAnsi="宋体" w:eastAsia="宋体" w:cs="宋体"/>
                <w:color w:val="333333"/>
                <w:kern w:val="0"/>
                <w:sz w:val="18"/>
                <w:szCs w:val="18"/>
                <w:lang w:bidi="ar"/>
              </w:rPr>
              <w:t>学科情况</w:t>
            </w:r>
            <w:r>
              <w:rPr>
                <w:rFonts w:hint="eastAsia" w:ascii="宋体" w:hAnsi="宋体" w:eastAsia="宋体" w:cs="宋体"/>
                <w:color w:val="333333"/>
                <w:kern w:val="0"/>
                <w:sz w:val="18"/>
                <w:szCs w:val="18"/>
                <w:lang w:eastAsia="zh-CN" w:bidi="ar"/>
              </w:rPr>
              <w:t>、</w:t>
            </w:r>
            <w:r>
              <w:rPr>
                <w:rFonts w:hint="eastAsia" w:ascii="宋体" w:hAnsi="宋体" w:eastAsia="宋体" w:cs="宋体"/>
                <w:color w:val="333333"/>
                <w:kern w:val="0"/>
                <w:sz w:val="18"/>
                <w:szCs w:val="18"/>
                <w:lang w:bidi="ar"/>
              </w:rPr>
              <w:t>专业情况</w:t>
            </w:r>
            <w:r>
              <w:rPr>
                <w:rFonts w:hint="eastAsia" w:ascii="宋体" w:hAnsi="宋体" w:eastAsia="宋体" w:cs="宋体"/>
                <w:color w:val="333333"/>
                <w:kern w:val="0"/>
                <w:sz w:val="18"/>
                <w:szCs w:val="18"/>
                <w:lang w:eastAsia="zh-CN" w:bidi="ar"/>
              </w:rPr>
              <w:t>、</w:t>
            </w:r>
            <w:r>
              <w:rPr>
                <w:rFonts w:hint="eastAsia" w:ascii="宋体" w:hAnsi="宋体" w:eastAsia="宋体" w:cs="宋体"/>
                <w:color w:val="333333"/>
                <w:kern w:val="0"/>
                <w:sz w:val="18"/>
                <w:szCs w:val="18"/>
                <w:lang w:bidi="ar"/>
              </w:rPr>
              <w:t>教师和专业技术人员数量等办学基本情况</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kern w:val="0"/>
                <w:sz w:val="18"/>
                <w:szCs w:val="18"/>
                <w:lang w:val="en-US" w:eastAsia="zh-CN" w:bidi="ar"/>
              </w:rPr>
            </w:pPr>
            <w:r>
              <w:rPr>
                <w:rFonts w:hint="eastAsia" w:ascii="宋体" w:hAnsi="宋体" w:eastAsia="宋体" w:cs="宋体"/>
                <w:color w:val="333333"/>
                <w:kern w:val="0"/>
                <w:sz w:val="18"/>
                <w:szCs w:val="18"/>
                <w:lang w:val="en-US" w:eastAsia="zh-CN" w:bidi="ar"/>
              </w:rPr>
              <w:fldChar w:fldCharType="begin"/>
            </w:r>
            <w:r>
              <w:rPr>
                <w:rFonts w:hint="eastAsia" w:ascii="宋体" w:hAnsi="宋体" w:eastAsia="宋体" w:cs="宋体"/>
                <w:color w:val="333333"/>
                <w:kern w:val="0"/>
                <w:sz w:val="18"/>
                <w:szCs w:val="18"/>
                <w:lang w:val="en-US" w:eastAsia="zh-CN" w:bidi="ar"/>
              </w:rPr>
              <w:instrText xml:space="preserve"> HYPERLINK "http://www.xthtc.com/index.php?s=/Index/view/s/2/c/268/id/6577" </w:instrText>
            </w:r>
            <w:r>
              <w:rPr>
                <w:rFonts w:hint="eastAsia" w:ascii="宋体" w:hAnsi="宋体" w:eastAsia="宋体" w:cs="宋体"/>
                <w:color w:val="333333"/>
                <w:kern w:val="0"/>
                <w:sz w:val="18"/>
                <w:szCs w:val="18"/>
                <w:lang w:val="en-US" w:eastAsia="zh-CN" w:bidi="ar"/>
              </w:rPr>
              <w:fldChar w:fldCharType="separate"/>
            </w:r>
            <w:r>
              <w:rPr>
                <w:rFonts w:hint="eastAsia" w:ascii="宋体" w:hAnsi="宋体" w:eastAsia="宋体" w:cs="宋体"/>
                <w:color w:val="333333"/>
                <w:kern w:val="0"/>
                <w:sz w:val="18"/>
                <w:szCs w:val="18"/>
                <w:lang w:bidi="ar"/>
              </w:rPr>
              <w:t>http://www.xthtc.com/index.php?s=/Index/view/s/2/c/268/id/6577</w:t>
            </w:r>
            <w:r>
              <w:rPr>
                <w:rFonts w:hint="eastAsia" w:ascii="宋体" w:hAnsi="宋体" w:eastAsia="宋体" w:cs="宋体"/>
                <w:color w:val="333333"/>
                <w:kern w:val="0"/>
                <w:sz w:val="18"/>
                <w:szCs w:val="18"/>
                <w:lang w:val="en-US" w:eastAsia="zh-CN" w:bidi="ar"/>
              </w:rPr>
              <w:fldChar w:fldCharType="end"/>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学校章程及制定的各项规章制度</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kern w:val="0"/>
                <w:sz w:val="18"/>
                <w:szCs w:val="18"/>
                <w:lang w:val="en-US" w:eastAsia="zh-CN" w:bidi="ar"/>
              </w:rPr>
              <w:t>http://www.xthtc.com/index.php?s=/Index/view/s/2/c/291/id/6602</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教职工代表大会相关制度、工作报告</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http://www.xthtc.com/index.php?s=/Index/view/s/2/c/268/id/6605</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学术委员会相关制度、年度报告</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http://www.xthtc.com/index.php?s=/Index/view/s/2/c/268/id/6606</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5</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学校发展规划、年度工作计划及重点工作安排</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kern w:val="0"/>
                <w:sz w:val="18"/>
                <w:szCs w:val="18"/>
                <w:lang w:val="en-US" w:eastAsia="zh-CN" w:bidi="ar"/>
              </w:rPr>
            </w:pPr>
            <w:r>
              <w:rPr>
                <w:rFonts w:hint="eastAsia" w:ascii="宋体" w:hAnsi="宋体" w:eastAsia="宋体" w:cs="宋体"/>
                <w:color w:val="333333"/>
                <w:kern w:val="0"/>
                <w:sz w:val="18"/>
                <w:szCs w:val="18"/>
                <w:lang w:val="en-US" w:eastAsia="zh-CN" w:bidi="ar"/>
              </w:rPr>
              <w:fldChar w:fldCharType="begin"/>
            </w:r>
            <w:r>
              <w:rPr>
                <w:rFonts w:hint="eastAsia" w:ascii="宋体" w:hAnsi="宋体" w:eastAsia="宋体" w:cs="宋体"/>
                <w:color w:val="333333"/>
                <w:kern w:val="0"/>
                <w:sz w:val="18"/>
                <w:szCs w:val="18"/>
                <w:lang w:val="en-US" w:eastAsia="zh-CN" w:bidi="ar"/>
              </w:rPr>
              <w:instrText xml:space="preserve"> HYPERLINK "http://www.xthtc.com/index.php?s=/Index/view/s/2/c/268/id/6579" </w:instrText>
            </w:r>
            <w:r>
              <w:rPr>
                <w:rFonts w:hint="eastAsia" w:ascii="宋体" w:hAnsi="宋体" w:eastAsia="宋体" w:cs="宋体"/>
                <w:color w:val="333333"/>
                <w:kern w:val="0"/>
                <w:sz w:val="18"/>
                <w:szCs w:val="18"/>
                <w:lang w:val="en-US" w:eastAsia="zh-CN" w:bidi="ar"/>
              </w:rPr>
              <w:fldChar w:fldCharType="separate"/>
            </w:r>
            <w:r>
              <w:rPr>
                <w:rFonts w:hint="eastAsia" w:ascii="宋体" w:hAnsi="宋体" w:eastAsia="宋体" w:cs="宋体"/>
                <w:color w:val="333333"/>
                <w:kern w:val="0"/>
                <w:sz w:val="18"/>
                <w:szCs w:val="18"/>
                <w:lang w:bidi="ar"/>
              </w:rPr>
              <w:t>http://www.xthtc.com/index.php?s=/Index/view/s/2/c/268/id/6579</w:t>
            </w:r>
            <w:r>
              <w:rPr>
                <w:rFonts w:hint="eastAsia" w:ascii="宋体" w:hAnsi="宋体" w:eastAsia="宋体" w:cs="宋体"/>
                <w:color w:val="333333"/>
                <w:kern w:val="0"/>
                <w:sz w:val="18"/>
                <w:szCs w:val="18"/>
                <w:lang w:val="en-US" w:eastAsia="zh-CN" w:bidi="ar"/>
              </w:rPr>
              <w:fldChar w:fldCharType="end"/>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6</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信息公开年度报告</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http://www.xthtc.com/index.php?s=/Index/view/s/2/c/268/id/6607</w:t>
            </w:r>
          </w:p>
        </w:tc>
      </w:tr>
      <w:tr>
        <w:tblPrEx>
          <w:tblLayout w:type="fixed"/>
          <w:tblCellMar>
            <w:top w:w="0" w:type="dxa"/>
            <w:left w:w="0" w:type="dxa"/>
            <w:bottom w:w="0" w:type="dxa"/>
            <w:right w:w="0" w:type="dxa"/>
          </w:tblCellMar>
        </w:tblPrEx>
        <w:trPr>
          <w:trHeight w:val="38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招生考试信息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（8项）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7</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招生章程及特殊类型招生办法，分批次、分科类招生计划</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1、2022年招生章程：http://www.xthtc.com/index.php?s=/Index/view/s/2/c/93/id/6443.html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2、2022年专升本招生计划：http://www.xthtc.com/index.php?s=/Index/view/s/2/c/93/id/6424.html</w:t>
            </w:r>
          </w:p>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3、2022年普高分省分专业招生计划：http://www.xthtc.com/index.php?s=/Index/view/s/2/c/268/id/6559</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8</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保送、自主选拔录取、高水平运动员和艺术特长生招生等特殊类型招生入选考生资格及测试结果</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无保送、自主选拔录取、高水平运动员和艺术特长生招生</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9</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考生个人录取信息查询渠道和办法，分批次、分科类录取人数和录取最低分</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1、陕西省：http://www.xthtc.com/index.php?s=/Index/view/s/2/c/93/id/6458.html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2、河南省：http://www.xthtc.com/index.php?s=/Index/view/s/2/c/93/id/6452.html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3、四川省：http://www.xthtc.com/index.php?s=/Index/view/s/2/c/93/id/6451.html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4、湖北省：http://www.xthtc.com/index.php?s=/Index/view/s/2/c/93/id/6448.html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5、甘肃省：http://www.xthtc.com/index.php?s=/Index/view/s/2/c/93/id/6454.html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6、内蒙古：http://www.xthtc.com/index.php?s=/Index/view/s/2/c/93/id/6453.html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7、宁夏：http://www.xthtc.com/index.php?s=/Index/view/s/2/c/93/id/6455.html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8、新疆：http://www.xthtc.com/index.php?s=/Index/view/s/2/c/93/id/6449.html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9、青海省：http://www.xthtc.com/index.php?s=/Index/view/s/2/c/93/id/6447.html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10：浙江省：http://www.xthtc.com/index.php?s=/Index/view/s/2/c/93/id/6457.html</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11、山西省：http://www.xthtc.com/index.php?s=/Index/view/s/2/c/93/id/6450.html</w:t>
            </w:r>
          </w:p>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12：江西省：http://www.xthtc.com/index.php?s=/Index/view/s/2/c/93/id/6456.html</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10</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招生咨询及考生申诉渠道，新生复查期间有关举报、调查及处理结果</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http://www.xthtc.com/index.php?s=/Index/view/s/2/c/291/id/6562</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11</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研究生招生简章、招生专业目录、复试录取办法，各院（系、所）或学科、专业招收研究生人数</w:t>
            </w:r>
          </w:p>
        </w:tc>
        <w:tc>
          <w:tcPr>
            <w:tcW w:w="407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无研究生教育</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12</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参加研究生复试的考生成绩</w:t>
            </w:r>
          </w:p>
        </w:tc>
        <w:tc>
          <w:tcPr>
            <w:tcW w:w="407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13</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拟录取研究生名单</w:t>
            </w:r>
          </w:p>
        </w:tc>
        <w:tc>
          <w:tcPr>
            <w:tcW w:w="407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14</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研究生招生咨询及申诉渠道</w:t>
            </w:r>
          </w:p>
        </w:tc>
        <w:tc>
          <w:tcPr>
            <w:tcW w:w="407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p>
        </w:tc>
      </w:tr>
      <w:tr>
        <w:tblPrEx>
          <w:tblLayout w:type="fixed"/>
          <w:tblCellMar>
            <w:top w:w="0" w:type="dxa"/>
            <w:left w:w="0" w:type="dxa"/>
            <w:bottom w:w="0" w:type="dxa"/>
            <w:right w:w="0" w:type="dxa"/>
          </w:tblCellMar>
        </w:tblPrEx>
        <w:trPr>
          <w:trHeight w:val="38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财务、资产及收费信息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（7项）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15</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财务、资产管理制度</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sz w:val="18"/>
                <w:szCs w:val="18"/>
                <w:lang w:eastAsia="zh-CN"/>
              </w:rPr>
            </w:pPr>
            <w:r>
              <w:rPr>
                <w:rFonts w:hint="eastAsia" w:ascii="宋体" w:hAnsi="宋体" w:eastAsia="宋体" w:cs="宋体"/>
                <w:color w:val="333333"/>
                <w:sz w:val="18"/>
                <w:szCs w:val="18"/>
              </w:rPr>
              <w:t>http://www.xthtc.com/index.php?s=/Index/view/s/2/c/268/id/6565</w:t>
            </w:r>
          </w:p>
        </w:tc>
      </w:tr>
      <w:tr>
        <w:tblPrEx>
          <w:tblLayout w:type="fixed"/>
          <w:tblCellMar>
            <w:top w:w="0" w:type="dxa"/>
            <w:left w:w="0" w:type="dxa"/>
            <w:bottom w:w="0" w:type="dxa"/>
            <w:right w:w="0"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16</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受捐赠财产的使用与管理情况</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无捐赠财产</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17</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校办企业资产、负债、国有资产保值增值等信息</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无国有资产和负债</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18</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仪器设备、图书、药品等物资设备采购和重大基建工程的招投标</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无公开项</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19</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收支预算总表、收入预算表、支出预算表、财政拨款支出预算表</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lang w:val="en-US" w:eastAsia="zh-CN"/>
              </w:rPr>
              <w:t>无公开项</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20</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收支决算总表、收入决算表、支出决算表、财政拨款支出决算表</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lang w:val="en-US" w:eastAsia="zh-CN"/>
              </w:rPr>
              <w:t>无公开项</w:t>
            </w:r>
          </w:p>
        </w:tc>
      </w:tr>
      <w:tr>
        <w:tblPrEx>
          <w:tblLayout w:type="fixed"/>
          <w:tblCellMar>
            <w:top w:w="0" w:type="dxa"/>
            <w:left w:w="0" w:type="dxa"/>
            <w:bottom w:w="0" w:type="dxa"/>
            <w:right w:w="0" w:type="dxa"/>
          </w:tblCellMar>
        </w:tblPrEx>
        <w:trPr>
          <w:trHeight w:val="3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21</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收费项目、收费依据、收费标准及投诉方式</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http://www.xthtc.com/index.php?s=/Index/view/s/2/c/268/id/6561</w:t>
            </w:r>
          </w:p>
        </w:tc>
      </w:tr>
      <w:tr>
        <w:tblPrEx>
          <w:tblLayout w:type="fixed"/>
          <w:tblCellMar>
            <w:top w:w="0" w:type="dxa"/>
            <w:left w:w="0" w:type="dxa"/>
            <w:bottom w:w="0" w:type="dxa"/>
            <w:right w:w="0" w:type="dxa"/>
          </w:tblCellMar>
        </w:tblPrEx>
        <w:trPr>
          <w:trHeight w:val="36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人事师资信息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（5项）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22</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校级领导干部社会兼职情况</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http://www.xthtc.com/index.php?s=/Index/view/s/2/c/268/id/5357</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23</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校级领导干部因公出国（境）情况</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http://www.xthtc.com/index.php?s=/Index/view/s/2/c/268/id/5358</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24</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岗位设置管理与聘用办法</w:t>
            </w:r>
          </w:p>
        </w:tc>
        <w:tc>
          <w:tcPr>
            <w:tcW w:w="407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http://www.xthtc.com/index.php?s=/Index/view/s/2/c/268/id/5359</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25</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校内中层干部任免</w:t>
            </w:r>
          </w:p>
        </w:tc>
        <w:tc>
          <w:tcPr>
            <w:tcW w:w="407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人员招聘信息</w:t>
            </w:r>
          </w:p>
        </w:tc>
        <w:tc>
          <w:tcPr>
            <w:tcW w:w="407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26</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教职工争议解决办法</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http://www.xthtc.com/index.php?s=/Index/view/s/2/c/268/id/5360</w:t>
            </w:r>
          </w:p>
        </w:tc>
      </w:tr>
      <w:tr>
        <w:tblPrEx>
          <w:tblLayout w:type="fixed"/>
          <w:tblCellMar>
            <w:top w:w="0" w:type="dxa"/>
            <w:left w:w="0" w:type="dxa"/>
            <w:bottom w:w="0" w:type="dxa"/>
            <w:right w:w="0" w:type="dxa"/>
          </w:tblCellMar>
        </w:tblPrEx>
        <w:trPr>
          <w:trHeight w:val="36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5</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教学质量信息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（9项）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27</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本科生占全日制在校生总数的比例、教师数量及结构</w:t>
            </w:r>
          </w:p>
        </w:tc>
        <w:tc>
          <w:tcPr>
            <w:tcW w:w="407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http://www.xthtc.com/index.php?s=/Index/view/s/2/c/268/id/6615</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28</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专业设置、当年新增专业、停招专业名单</w:t>
            </w:r>
          </w:p>
        </w:tc>
        <w:tc>
          <w:tcPr>
            <w:tcW w:w="407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29</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全校开设课程总门数、实践教学学分占总学分比例、选修课学分占总学分比例</w:t>
            </w:r>
          </w:p>
        </w:tc>
        <w:tc>
          <w:tcPr>
            <w:tcW w:w="407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30</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主讲本科课程的教授占教授总数的比例、教授授本科课程占课程总门次数的比例</w:t>
            </w:r>
          </w:p>
        </w:tc>
        <w:tc>
          <w:tcPr>
            <w:tcW w:w="407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31</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促进毕业生就业的政策措施和指导服务</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http://www.xthtc.com/index.php?s=/Index/view/s/2/c/268/id/6570</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32</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毕业生的规模、结构、就业率、就业流向</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http://www.xthtc.com/index.php?s=/Index/view/s/2/c/268/id/6568</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33</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高校毕业生就业质量年度报告</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http://www.xthtc.com/index.php?s=/Index/view/s/2/c/268/id/6572</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34</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艺术教育发展年度报告</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http://www.xthtc.com/index.php?s=/Index/view/s/2/c/268/id/6614</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35</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本科教学质量报告</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http://www.xthtc.com/index.php?s=/Index/view/s/2/c/268/id/6615</w:t>
            </w:r>
          </w:p>
        </w:tc>
      </w:tr>
      <w:tr>
        <w:tblPrEx>
          <w:tblLayout w:type="fixed"/>
          <w:tblCellMar>
            <w:top w:w="0" w:type="dxa"/>
            <w:left w:w="0" w:type="dxa"/>
            <w:bottom w:w="0" w:type="dxa"/>
            <w:right w:w="0" w:type="dxa"/>
          </w:tblCellMar>
        </w:tblPrEx>
        <w:trPr>
          <w:trHeight w:val="36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6</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学生管理服务信息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（4项）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36</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学籍管理办法</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http://www.xthtc.com/index.php?s=/Index/view/s/2/c/268/id/6609</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37</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学生奖学金、助学金、学费减免、助学贷款、勤工俭学的申请与管理规定</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http://www.xthtc.com/index.php?s=/Index/view/s/2/c/268/id/6587</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http://www.xthtc.com/index.php?s=/Index/view/s/2/c/268/id/6589</w:t>
            </w:r>
          </w:p>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http://www.xthtc.com/index.php?s=/Index/view/s/2/c/268/id/6585</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38</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学生奖励处罚办法</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http://www.xthtc.com/index.php?s=/Index/view/s/2/c/268/id/6591</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39</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学生申诉办法</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http://www.xthtc.com/index.php?s=/Index/view/s/2/c/291/id/6562</w:t>
            </w:r>
          </w:p>
        </w:tc>
      </w:tr>
      <w:tr>
        <w:tblPrEx>
          <w:tblLayout w:type="fixed"/>
          <w:tblCellMar>
            <w:top w:w="0" w:type="dxa"/>
            <w:left w:w="0" w:type="dxa"/>
            <w:bottom w:w="0" w:type="dxa"/>
            <w:right w:w="0" w:type="dxa"/>
          </w:tblCellMar>
        </w:tblPrEx>
        <w:trPr>
          <w:trHeight w:val="36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7</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学风建设信息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（3项）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40</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学风建设机构</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http://www.xthtc.com/index.php?s=/Index/view/s/2/c/268/id/6610</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41</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学术规范制度</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http://www.xthtc.com/index.php?s=/Index/view/s/2/c/268/id/6621</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42</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学术不端行为查处机制</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http://www.xthtc.com/index.php?s=/Index/view/s/2/c/268/id/6611</w:t>
            </w:r>
          </w:p>
        </w:tc>
      </w:tr>
      <w:tr>
        <w:tblPrEx>
          <w:tblLayout w:type="fixed"/>
          <w:tblCellMar>
            <w:top w:w="0" w:type="dxa"/>
            <w:left w:w="0" w:type="dxa"/>
            <w:bottom w:w="0" w:type="dxa"/>
            <w:right w:w="0" w:type="dxa"/>
          </w:tblCellMar>
        </w:tblPrEx>
        <w:trPr>
          <w:trHeight w:val="36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8</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学位、学科信息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（4项）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43</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授予博士、硕士、学士学位的基本要求</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http://www.xthtc.com/index.php?s=/Index/view/s/2/c/268/id/6616</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44</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拟授予硕士、博士学位同等学力人员资格审查和学力水平认定</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无硕士博士学位设置</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45</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新增硕士、博士学位授权学科或专业学位授权点审核办法</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lang w:val="en-US" w:eastAsia="zh-CN"/>
              </w:rPr>
              <w:t>本</w:t>
            </w:r>
            <w:r>
              <w:rPr>
                <w:rFonts w:hint="eastAsia" w:ascii="宋体" w:hAnsi="宋体" w:eastAsia="宋体" w:cs="宋体"/>
                <w:color w:val="333333"/>
                <w:sz w:val="18"/>
                <w:szCs w:val="18"/>
              </w:rPr>
              <w:t>年度无该项工作</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46</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拟新增学位授权学科或专业学位授权点的申报及论证材料</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http://www.xthtc.com/index.php?s=/Index/view/s/2/c/268/id/6617</w:t>
            </w:r>
          </w:p>
        </w:tc>
      </w:tr>
      <w:tr>
        <w:tblPrEx>
          <w:tblLayout w:type="fixed"/>
          <w:tblCellMar>
            <w:top w:w="0" w:type="dxa"/>
            <w:left w:w="0" w:type="dxa"/>
            <w:bottom w:w="0" w:type="dxa"/>
            <w:right w:w="0" w:type="dxa"/>
          </w:tblCellMar>
        </w:tblPrEx>
        <w:trPr>
          <w:trHeight w:val="36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9</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对外交流与合作信息</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（2项）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47</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中外合作办学情况</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kern w:val="0"/>
                <w:sz w:val="18"/>
                <w:szCs w:val="18"/>
                <w:lang w:val="en-US" w:eastAsia="zh-CN" w:bidi="ar"/>
              </w:rPr>
              <w:t>无</w:t>
            </w:r>
            <w:r>
              <w:rPr>
                <w:rFonts w:hint="eastAsia" w:ascii="宋体" w:hAnsi="宋体" w:eastAsia="宋体" w:cs="宋体"/>
                <w:color w:val="333333"/>
                <w:kern w:val="0"/>
                <w:sz w:val="18"/>
                <w:szCs w:val="18"/>
                <w:lang w:bidi="ar"/>
              </w:rPr>
              <w:t>中外合作办学</w:t>
            </w:r>
          </w:p>
        </w:tc>
      </w:tr>
      <w:tr>
        <w:tblPrEx>
          <w:tblLayout w:type="fixed"/>
          <w:tblCellMar>
            <w:top w:w="0" w:type="dxa"/>
            <w:left w:w="0" w:type="dxa"/>
            <w:bottom w:w="0" w:type="dxa"/>
            <w:right w:w="0" w:type="dxa"/>
          </w:tblCellMar>
        </w:tblPrEx>
        <w:trPr>
          <w:trHeight w:val="36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48</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来华留学生管理相关规定</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kern w:val="0"/>
                <w:sz w:val="18"/>
                <w:szCs w:val="18"/>
                <w:lang w:val="en-US" w:eastAsia="zh-CN" w:bidi="ar"/>
              </w:rPr>
              <w:t>无</w:t>
            </w:r>
            <w:r>
              <w:rPr>
                <w:rFonts w:hint="eastAsia" w:ascii="宋体" w:hAnsi="宋体" w:eastAsia="宋体" w:cs="宋体"/>
                <w:color w:val="333333"/>
                <w:kern w:val="0"/>
                <w:sz w:val="18"/>
                <w:szCs w:val="18"/>
                <w:lang w:bidi="ar"/>
              </w:rPr>
              <w:t>留学生</w:t>
            </w:r>
          </w:p>
        </w:tc>
      </w:tr>
      <w:tr>
        <w:tblPrEx>
          <w:tblLayout w:type="fixed"/>
          <w:tblCellMar>
            <w:top w:w="0" w:type="dxa"/>
            <w:left w:w="0" w:type="dxa"/>
            <w:bottom w:w="0" w:type="dxa"/>
            <w:right w:w="0" w:type="dxa"/>
          </w:tblCellMar>
        </w:tblPrEx>
        <w:trPr>
          <w:trHeight w:val="36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10</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其他</w:t>
            </w:r>
            <w:r>
              <w:rPr>
                <w:rFonts w:hint="eastAsia" w:ascii="宋体" w:hAnsi="宋体" w:eastAsia="宋体" w:cs="宋体"/>
                <w:color w:val="333333"/>
                <w:kern w:val="0"/>
                <w:sz w:val="18"/>
                <w:szCs w:val="18"/>
                <w:lang w:bidi="ar"/>
              </w:rPr>
              <w:br w:type="textWrapping"/>
            </w:r>
            <w:r>
              <w:rPr>
                <w:rFonts w:hint="eastAsia" w:ascii="宋体" w:hAnsi="宋体" w:eastAsia="宋体" w:cs="宋体"/>
                <w:color w:val="333333"/>
                <w:kern w:val="0"/>
                <w:sz w:val="18"/>
                <w:szCs w:val="18"/>
                <w:lang w:bidi="ar"/>
              </w:rPr>
              <w:t>（2项）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49</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巡视组反馈意见，落实反馈意见整改情况</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ascii="宋体" w:hAnsi="宋体" w:eastAsia="宋体" w:cs="宋体"/>
                <w:color w:val="333333"/>
                <w:sz w:val="18"/>
                <w:szCs w:val="18"/>
              </w:rPr>
            </w:pPr>
            <w:r>
              <w:rPr>
                <w:rFonts w:hint="eastAsia" w:ascii="宋体" w:hAnsi="宋体" w:eastAsia="宋体" w:cs="宋体"/>
                <w:color w:val="333333"/>
                <w:sz w:val="18"/>
                <w:szCs w:val="18"/>
              </w:rPr>
              <w:t>无中央巡视组到我校巡视</w:t>
            </w:r>
          </w:p>
        </w:tc>
      </w:tr>
      <w:tr>
        <w:tblPrEx>
          <w:tblLayout w:type="fixed"/>
          <w:tblCellMar>
            <w:top w:w="0" w:type="dxa"/>
            <w:left w:w="0" w:type="dxa"/>
            <w:bottom w:w="0" w:type="dxa"/>
            <w:right w:w="0" w:type="dxa"/>
          </w:tblCellMar>
        </w:tblPrEx>
        <w:trPr>
          <w:trHeight w:val="62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eastAsia="等线" w:cs="Times New Roman"/>
                <w:color w:val="333333"/>
                <w:sz w:val="18"/>
                <w:szCs w:val="18"/>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rPr>
                <w:rFonts w:ascii="宋体" w:hAnsi="宋体" w:eastAsia="宋体" w:cs="宋体"/>
                <w:color w:val="333333"/>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eastAsia="等线" w:cs="Times New Roman"/>
                <w:color w:val="333333"/>
                <w:sz w:val="18"/>
                <w:szCs w:val="18"/>
              </w:rPr>
            </w:pPr>
            <w:r>
              <w:rPr>
                <w:rFonts w:ascii="Times New Roman" w:hAnsi="Times New Roman" w:eastAsia="等线" w:cs="Times New Roman"/>
                <w:color w:val="333333"/>
                <w:kern w:val="0"/>
                <w:sz w:val="18"/>
                <w:szCs w:val="18"/>
                <w:lang w:bidi="ar"/>
              </w:rPr>
              <w:t>50</w:t>
            </w:r>
          </w:p>
        </w:tc>
        <w:tc>
          <w:tcPr>
            <w:tcW w:w="80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widowControl/>
              <w:spacing w:line="300" w:lineRule="exact"/>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自然灾害等突发事件的应急处理预案、预警信息和处置情况，涉及学校的重大事件的调查和处理情况</w:t>
            </w:r>
          </w:p>
        </w:tc>
        <w:tc>
          <w:tcPr>
            <w:tcW w:w="40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http://www.xthtc.com/index.php?s=/Index/view/s/2/c/268/id/5341</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http://www.xthtc.com/index.php?s=/Index/view/s/2/c/268/id/5338</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http://www.xthtc.com/index.php?s=/Index/view/s/2/c/268/id/5340</w:t>
            </w:r>
          </w:p>
          <w:p>
            <w:pPr>
              <w:widowControl/>
              <w:spacing w:line="30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rPr>
              <w:t>http://www.xthtc.com/index.php?s=/Index/view/s/2/c/268/id/5339</w:t>
            </w:r>
          </w:p>
        </w:tc>
      </w:tr>
    </w:tbl>
    <w:p>
      <w:pPr>
        <w:spacing w:line="14" w:lineRule="exact"/>
        <w:rPr>
          <w:sz w:val="6"/>
          <w:szCs w:val="6"/>
        </w:rPr>
      </w:pPr>
    </w:p>
    <w:sectPr>
      <w:footerReference r:id="rId3" w:type="default"/>
      <w:footerReference r:id="rId4" w:type="even"/>
      <w:pgSz w:w="16838" w:h="11906" w:orient="landscape"/>
      <w:pgMar w:top="964" w:right="850" w:bottom="850" w:left="850" w:header="851" w:footer="1417" w:gutter="0"/>
      <w:pgBorders>
        <w:top w:val="none" w:sz="0" w:space="0"/>
        <w:left w:val="none" w:sz="0" w:space="0"/>
        <w:bottom w:val="none" w:sz="0" w:space="0"/>
        <w:right w:val="none" w:sz="0" w:space="0"/>
      </w:pgBorders>
      <w:cols w:space="0" w:num="1"/>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28"/>
    <w:rsid w:val="00042B1C"/>
    <w:rsid w:val="00127A6D"/>
    <w:rsid w:val="001A0654"/>
    <w:rsid w:val="001C73B2"/>
    <w:rsid w:val="001E45EE"/>
    <w:rsid w:val="002210B8"/>
    <w:rsid w:val="00476B45"/>
    <w:rsid w:val="00513BA3"/>
    <w:rsid w:val="0057316B"/>
    <w:rsid w:val="007C7A9A"/>
    <w:rsid w:val="007E66AF"/>
    <w:rsid w:val="008425A0"/>
    <w:rsid w:val="008C1526"/>
    <w:rsid w:val="008E0AC7"/>
    <w:rsid w:val="009E5624"/>
    <w:rsid w:val="00B3202A"/>
    <w:rsid w:val="00B46747"/>
    <w:rsid w:val="00BC4F28"/>
    <w:rsid w:val="00CB1D81"/>
    <w:rsid w:val="00EC6825"/>
    <w:rsid w:val="00FF60BC"/>
    <w:rsid w:val="05692B09"/>
    <w:rsid w:val="09BA5F05"/>
    <w:rsid w:val="18F96DDC"/>
    <w:rsid w:val="1A5609A0"/>
    <w:rsid w:val="1D3D27B6"/>
    <w:rsid w:val="1E3B59E4"/>
    <w:rsid w:val="25F806BD"/>
    <w:rsid w:val="2DBD5E75"/>
    <w:rsid w:val="3A4244B9"/>
    <w:rsid w:val="3B2511F1"/>
    <w:rsid w:val="42304642"/>
    <w:rsid w:val="490415F4"/>
    <w:rsid w:val="49C4512C"/>
    <w:rsid w:val="4BAB2271"/>
    <w:rsid w:val="4E7B0AA5"/>
    <w:rsid w:val="4F5B3FE1"/>
    <w:rsid w:val="58B85610"/>
    <w:rsid w:val="5B3416A5"/>
    <w:rsid w:val="5F983448"/>
    <w:rsid w:val="61FC659B"/>
    <w:rsid w:val="62752EA6"/>
    <w:rsid w:val="6BCF1393"/>
    <w:rsid w:val="7428769F"/>
    <w:rsid w:val="7512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table" w:styleId="7">
    <w:name w:val="Table Grid"/>
    <w:basedOn w:val="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4784</Words>
  <Characters>7937</Characters>
  <Lines>39</Lines>
  <Paragraphs>11</Paragraphs>
  <TotalTime>12</TotalTime>
  <ScaleCrop>false</ScaleCrop>
  <LinksUpToDate>false</LinksUpToDate>
  <CharactersWithSpaces>7937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2022-11-25T07:12:00Z</dcterms:created>
  <dc:creator>马艺</dc:creator>
  <cp:lastModifiedBy>MY-PC</cp:lastModifiedBy>
  <dcterms:modified xsi:type="dcterms:W3CDTF">2022-11-30T05:37:40Z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